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155EEF"/>
          <w:sz w:val="20"/>
        </w:rPr>
        <w:t>FLAGSHIP PROJECT</w:t>
      </w:r>
    </w:p>
    <w:p>
      <w:pPr>
        <w:spacing w:after="40"/>
      </w:pPr>
      <w:r>
        <w:rPr>
          <w:rFonts w:ascii="Calibri" w:hAnsi="Calibri"/>
          <w:b/>
          <w:color w:val="0F172A"/>
          <w:sz w:val="48"/>
        </w:rPr>
        <w:t>Idol Fairies Regression Report</w:t>
      </w:r>
    </w:p>
    <w:p>
      <w:pPr>
        <w:spacing w:after="240"/>
      </w:pPr>
      <w:r>
        <w:rPr>
          <w:rFonts w:ascii="Calibri" w:hAnsi="Calibri"/>
          <w:b w:val="0"/>
          <w:color w:val="64748B"/>
          <w:sz w:val="22"/>
        </w:rPr>
        <w:t>Final business-workflow regression summary | August 16, 2026</w:t>
      </w:r>
    </w:p>
    <w:p>
      <w:pPr>
        <w:spacing w:after="280"/>
      </w:pPr>
      <w:r>
        <w:rPr>
          <w:rFonts w:ascii="Calibri" w:hAnsi="Calibri"/>
          <w:b/>
          <w:color w:val="0F172A"/>
          <w:sz w:val="22"/>
        </w:rPr>
        <w:t xml:space="preserve">Overall result: </w:t>
      </w:r>
      <w:r>
        <w:rPr>
          <w:rFonts w:ascii="Calibri" w:hAnsi="Calibri"/>
          <w:b/>
          <w:color w:val="15803D"/>
          <w:sz w:val="22"/>
        </w:rPr>
        <w:t>41 / 41 PASS</w:t>
      </w:r>
      <w:r>
        <w:rPr>
          <w:rFonts w:ascii="Calibri" w:hAnsi="Calibri"/>
          <w:b w:val="0"/>
          <w:color w:val="334155"/>
          <w:sz w:val="22"/>
        </w:rPr>
        <w:t xml:space="preserve">  |  Seven business workflows  |  No blocking defects in the final tested implementations</w:t>
      </w:r>
    </w:p>
    <w:p>
      <w:pPr>
        <w:spacing w:before="0" w:after="160"/>
      </w:pPr>
      <w:r>
        <w:rPr>
          <w:rFonts w:ascii="Calibri" w:hAnsi="Calibri"/>
          <w:b/>
          <w:color w:val="2E74B5"/>
          <w:sz w:val="32"/>
        </w:rPr>
        <w:t>Test results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4540"/>
        <w:gridCol w:w="800"/>
        <w:gridCol w:w="1820"/>
      </w:tblGrid>
      <w:tr>
        <w:tc>
          <w:tcPr>
            <w:tcW w:type="dxa" w:w="22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0F172A"/>
                <w:sz w:val="19"/>
              </w:rPr>
              <w:t>Workflow</w:t>
            </w:r>
          </w:p>
        </w:tc>
        <w:tc>
          <w:tcPr>
            <w:tcW w:type="dxa" w:w="454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0F172A"/>
                <w:sz w:val="19"/>
              </w:rPr>
              <w:t>What was verified</w:t>
            </w:r>
          </w:p>
        </w:tc>
        <w:tc>
          <w:tcPr>
            <w:tcW w:type="dxa" w:w="8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0F172A"/>
                <w:sz w:val="19"/>
              </w:rPr>
              <w:t>Tests</w:t>
            </w:r>
          </w:p>
        </w:tc>
        <w:tc>
          <w:tcPr>
            <w:tcW w:type="dxa" w:w="182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0F172A"/>
                <w:sz w:val="19"/>
              </w:rPr>
              <w:t>Result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/>
                <w:color w:val="1F2937"/>
                <w:sz w:val="18"/>
              </w:rPr>
              <w:t>B2C Sales Webhook</w:t>
            </w:r>
          </w:p>
        </w:tc>
        <w:tc>
          <w:tcPr>
            <w:tcW w:type="dxa" w:w="4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Order creation, duplicate protection, stock rules, multi-item orders, and invalid input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5</w:t>
            </w:r>
          </w:p>
        </w:tc>
        <w:tc>
          <w:tcPr>
            <w:tcW w:type="dxa" w:w="18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/>
                <w:color w:val="15803D"/>
                <w:sz w:val="18"/>
              </w:rPr>
              <w:t>5 / 5 PASS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/>
                <w:color w:val="1F2937"/>
                <w:sz w:val="18"/>
              </w:rPr>
              <w:t>Wholesale Sales &amp; AR</w:t>
            </w:r>
          </w:p>
        </w:tc>
        <w:tc>
          <w:tcPr>
            <w:tcW w:type="dxa" w:w="4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Existing and new resellers, negotiated prices, stock handling, and invalid input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5</w:t>
            </w:r>
          </w:p>
        </w:tc>
        <w:tc>
          <w:tcPr>
            <w:tcW w:type="dxa" w:w="18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/>
                <w:color w:val="15803D"/>
                <w:sz w:val="18"/>
              </w:rPr>
              <w:t>5 / 5 PASS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/>
                <w:color w:val="1F2937"/>
                <w:sz w:val="18"/>
              </w:rPr>
              <w:t>AR Payment Reminder</w:t>
            </w:r>
          </w:p>
        </w:tc>
        <w:tc>
          <w:tcPr>
            <w:tcW w:type="dxa" w:w="4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Partial payments, duplicates, unmatched payments, invalid input, and overpayments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5</w:t>
            </w:r>
          </w:p>
        </w:tc>
        <w:tc>
          <w:tcPr>
            <w:tcW w:type="dxa" w:w="18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/>
                <w:color w:val="15803D"/>
                <w:sz w:val="18"/>
              </w:rPr>
              <w:t>5 / 5 PASS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/>
                <w:color w:val="1F2937"/>
                <w:sz w:val="18"/>
              </w:rPr>
              <w:t>Inventory Purchase &amp; AP</w:t>
            </w:r>
          </w:p>
        </w:tc>
        <w:tc>
          <w:tcPr>
            <w:tcW w:type="dxa" w:w="4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Supplier draft intake, item extraction, owner confirmation, and invalid or duplicate invoices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5</w:t>
            </w:r>
          </w:p>
        </w:tc>
        <w:tc>
          <w:tcPr>
            <w:tcW w:type="dxa" w:w="18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/>
                <w:color w:val="15803D"/>
                <w:sz w:val="18"/>
              </w:rPr>
              <w:t>5 / 5 PASS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/>
                <w:color w:val="1F2937"/>
                <w:sz w:val="18"/>
              </w:rPr>
              <w:t>AP Payment Reminder</w:t>
            </w:r>
          </w:p>
        </w:tc>
        <w:tc>
          <w:tcPr>
            <w:tcW w:type="dxa" w:w="4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Full, partial, and credit payments; unmatched and invalid payments; duplicate protection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6</w:t>
            </w:r>
          </w:p>
        </w:tc>
        <w:tc>
          <w:tcPr>
            <w:tcW w:type="dxa" w:w="18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/>
                <w:color w:val="15803D"/>
                <w:sz w:val="18"/>
              </w:rPr>
              <w:t>6 / 6 PASS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/>
                <w:color w:val="1F2937"/>
                <w:sz w:val="18"/>
              </w:rPr>
              <w:t>Expense Automation</w:t>
            </w:r>
          </w:p>
        </w:tc>
        <w:tc>
          <w:tcPr>
            <w:tcW w:type="dxa" w:w="4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Expense capture, file archival, duplicate prevention, supplier routing, and categorization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10</w:t>
            </w:r>
          </w:p>
        </w:tc>
        <w:tc>
          <w:tcPr>
            <w:tcW w:type="dxa" w:w="18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/>
                <w:color w:val="15803D"/>
                <w:sz w:val="18"/>
              </w:rPr>
              <w:t>10 / 10 PASS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/>
                <w:color w:val="1F2937"/>
                <w:sz w:val="18"/>
              </w:rPr>
              <w:t>Refund Automation</w:t>
            </w:r>
          </w:p>
        </w:tc>
        <w:tc>
          <w:tcPr>
            <w:tcW w:type="dxa" w:w="4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Resellable and damaged refunds, quantity limits, and product or order validation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 w:val="0"/>
                <w:color w:val="1F2937"/>
                <w:sz w:val="18"/>
              </w:rPr>
              <w:t>5</w:t>
            </w:r>
          </w:p>
        </w:tc>
        <w:tc>
          <w:tcPr>
            <w:tcW w:type="dxa" w:w="18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Calibri" w:hAnsi="Calibri"/>
                <w:b/>
                <w:color w:val="15803D"/>
                <w:sz w:val="18"/>
              </w:rPr>
              <w:t>5 / 5 PASS</w:t>
            </w:r>
          </w:p>
        </w:tc>
      </w:tr>
      <w:tr>
        <w:tc>
          <w:tcPr>
            <w:tcW w:type="dxa" w:w="2200"/>
            <w:vAlign w:val="center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0F172A"/>
                <w:sz w:val="19"/>
              </w:rPr>
              <w:t>TOTAL</w:t>
            </w:r>
          </w:p>
        </w:tc>
        <w:tc>
          <w:tcPr>
            <w:tcW w:type="dxa" w:w="4540"/>
            <w:vAlign w:val="center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0F172A"/>
                <w:sz w:val="19"/>
              </w:rPr>
              <w:t>All seven business workflows</w:t>
            </w:r>
          </w:p>
        </w:tc>
        <w:tc>
          <w:tcPr>
            <w:tcW w:type="dxa" w:w="800"/>
            <w:vAlign w:val="center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0F172A"/>
                <w:sz w:val="19"/>
              </w:rPr>
              <w:t>41</w:t>
            </w:r>
          </w:p>
        </w:tc>
        <w:tc>
          <w:tcPr>
            <w:tcW w:type="dxa" w:w="1820"/>
            <w:vAlign w:val="center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15803D"/>
                <w:sz w:val="19"/>
              </w:rPr>
              <w:t>41 / 41 PASS</w:t>
            </w:r>
          </w:p>
        </w:tc>
      </w:tr>
    </w:tbl>
    <w:p>
      <w:pPr>
        <w:spacing w:before="200" w:after="0"/>
      </w:pPr>
      <w:r>
        <w:rPr>
          <w:rFonts w:ascii="Calibri" w:hAnsi="Calibri"/>
          <w:b/>
          <w:color w:val="334155"/>
          <w:sz w:val="19"/>
        </w:rPr>
        <w:t xml:space="preserve">Scope note: </w:t>
      </w:r>
      <w:r>
        <w:rPr>
          <w:rFonts w:ascii="Calibri" w:hAnsi="Calibri"/>
          <w:b w:val="0"/>
          <w:color w:val="64748B"/>
          <w:sz w:val="19"/>
        </w:rPr>
        <w:t>Results are presented at workflow level. Individual internal test-case identifiers are intentionally omitted.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4748B"/>
        <w:sz w:val="18"/>
      </w:rPr>
      <w:t>Idol Fairies Regression Report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color w:val="64748B"/>
        <w:sz w:val="18"/>
      </w:rPr>
      <w:t>MJ Ablanque | AI Automation Portfolio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